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Entrepreneurship development cell Annual report 2023-24.</w:t>
      </w:r>
    </w:p>
    <w:p>
      <w:pPr>
        <w:pStyle w:val="style0"/>
        <w:rPr/>
      </w:pPr>
    </w:p>
    <w:p>
      <w:pPr>
        <w:pStyle w:val="style179"/>
        <w:numPr>
          <w:ilvl w:val="0"/>
          <w:numId w:val="1"/>
        </w:numPr>
        <w:rPr/>
      </w:pPr>
      <w:r>
        <w:t>A lecture was organized by B.Com third year students on 09/10/2023, the topic of which was – career guidelines related to commerce (as an accountant field).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2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BE2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6AEAA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31</Words>
  <Pages>1</Pages>
  <Characters>182</Characters>
  <Application>WPS Office</Application>
  <DocSecurity>0</DocSecurity>
  <Paragraphs>4</Paragraphs>
  <ScaleCrop>false</ScaleCrop>
  <LinksUpToDate>false</LinksUpToDate>
  <CharactersWithSpaces>212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2024-04-18T04:32:00Z</dcterms:created>
  <dc:creator>CPH2569</dc:creator>
  <lastModifiedBy>CPH2569</lastModifiedBy>
  <dcterms:modified xsi:type="dcterms:W3CDTF">2025-07-13T12:55:55Z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77226007b8bd49ef99e7533b6b4b79de</vt:lpwstr>
  </property>
</Properties>
</file>